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E387" w14:textId="77777777" w:rsidR="009547A8" w:rsidRDefault="009547A8" w:rsidP="009547A8"/>
    <w:p w14:paraId="0C0288D0" w14:textId="45C4509F" w:rsidR="009547A8" w:rsidRDefault="009547A8" w:rsidP="009547A8"/>
    <w:p w14:paraId="58475413" w14:textId="1755B06B" w:rsidR="009547A8" w:rsidRPr="00436C5F" w:rsidRDefault="009547A8" w:rsidP="009547A8">
      <w:pPr>
        <w:jc w:val="center"/>
        <w:rPr>
          <w:b/>
          <w:bCs/>
          <w:sz w:val="24"/>
        </w:rPr>
      </w:pPr>
      <w:r w:rsidRPr="00436C5F">
        <w:rPr>
          <w:b/>
          <w:bCs/>
          <w:sz w:val="24"/>
        </w:rPr>
        <w:t>Parish of St Paul’s Wilford Hill West Bridgford</w:t>
      </w:r>
      <w:r w:rsidR="00205EBD">
        <w:rPr>
          <w:noProof/>
        </w:rPr>
        <w:drawing>
          <wp:anchor distT="0" distB="0" distL="114300" distR="114300" simplePos="0" relativeHeight="251658240" behindDoc="0" locked="0" layoutInCell="1" allowOverlap="1" wp14:anchorId="4D5DA561" wp14:editId="67AE48FD">
            <wp:simplePos x="0" y="0"/>
            <wp:positionH relativeFrom="column">
              <wp:posOffset>0</wp:posOffset>
            </wp:positionH>
            <wp:positionV relativeFrom="paragraph">
              <wp:posOffset>-418465</wp:posOffset>
            </wp:positionV>
            <wp:extent cx="2143125" cy="1090930"/>
            <wp:effectExtent l="0" t="0" r="9525" b="0"/>
            <wp:wrapTopAndBottom/>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8124" cy="1098565"/>
                    </a:xfrm>
                    <a:prstGeom prst="rect">
                      <a:avLst/>
                    </a:prstGeom>
                    <a:noFill/>
                    <a:ln>
                      <a:noFill/>
                    </a:ln>
                  </pic:spPr>
                </pic:pic>
              </a:graphicData>
            </a:graphic>
            <wp14:sizeRelH relativeFrom="margin">
              <wp14:pctWidth>0</wp14:pctWidth>
            </wp14:sizeRelH>
          </wp:anchor>
        </w:drawing>
      </w:r>
    </w:p>
    <w:p w14:paraId="437145CD" w14:textId="77777777" w:rsidR="009547A8" w:rsidRPr="00436C5F" w:rsidRDefault="009547A8" w:rsidP="009547A8">
      <w:pPr>
        <w:jc w:val="center"/>
        <w:rPr>
          <w:b/>
          <w:bCs/>
          <w:sz w:val="24"/>
        </w:rPr>
      </w:pPr>
    </w:p>
    <w:p w14:paraId="6B8FAEB3" w14:textId="77777777" w:rsidR="009547A8" w:rsidRDefault="009547A8" w:rsidP="009547A8">
      <w:pPr>
        <w:jc w:val="center"/>
        <w:rPr>
          <w:b/>
          <w:bCs/>
          <w:sz w:val="24"/>
        </w:rPr>
      </w:pPr>
      <w:r w:rsidRPr="00436C5F">
        <w:rPr>
          <w:b/>
          <w:bCs/>
          <w:sz w:val="24"/>
        </w:rPr>
        <w:t>Risk Assessment</w:t>
      </w:r>
    </w:p>
    <w:p w14:paraId="022DF215" w14:textId="77777777" w:rsidR="009547A8" w:rsidRDefault="009547A8" w:rsidP="009547A8">
      <w:pPr>
        <w:jc w:val="center"/>
        <w:rPr>
          <w:b/>
          <w:bCs/>
          <w:sz w:val="24"/>
        </w:rPr>
      </w:pPr>
    </w:p>
    <w:p w14:paraId="37ACB638" w14:textId="388B10DF" w:rsidR="009547A8" w:rsidRDefault="009547A8" w:rsidP="009547A8">
      <w:pPr>
        <w:rPr>
          <w:b/>
          <w:bCs/>
          <w:sz w:val="24"/>
        </w:rPr>
      </w:pPr>
      <w:r>
        <w:rPr>
          <w:b/>
          <w:bCs/>
          <w:sz w:val="24"/>
        </w:rPr>
        <w:t xml:space="preserve">Activity: COVID risk assessment for </w:t>
      </w:r>
      <w:r w:rsidR="00F31B6C">
        <w:rPr>
          <w:b/>
          <w:bCs/>
          <w:sz w:val="24"/>
        </w:rPr>
        <w:t xml:space="preserve">Pastoral Visiting. </w:t>
      </w:r>
      <w:r w:rsidR="00F31B6C">
        <w:rPr>
          <w:b/>
          <w:bCs/>
          <w:sz w:val="24"/>
        </w:rPr>
        <w:tab/>
      </w:r>
      <w:r w:rsidR="00F31B6C">
        <w:rPr>
          <w:b/>
          <w:bCs/>
          <w:sz w:val="24"/>
        </w:rPr>
        <w:tab/>
      </w:r>
      <w:r w:rsidR="00F31B6C">
        <w:rPr>
          <w:b/>
          <w:bCs/>
          <w:sz w:val="24"/>
        </w:rPr>
        <w:tab/>
      </w:r>
      <w:r>
        <w:rPr>
          <w:b/>
          <w:bCs/>
          <w:sz w:val="24"/>
        </w:rPr>
        <w:t xml:space="preserve">Date of risk assessment: </w:t>
      </w:r>
      <w:r w:rsidR="00A46367">
        <w:rPr>
          <w:b/>
          <w:bCs/>
          <w:color w:val="FF0000"/>
          <w:sz w:val="24"/>
        </w:rPr>
        <w:t>15</w:t>
      </w:r>
      <w:r w:rsidR="00A46367" w:rsidRPr="00A46367">
        <w:rPr>
          <w:b/>
          <w:bCs/>
          <w:color w:val="FF0000"/>
          <w:sz w:val="24"/>
          <w:vertAlign w:val="superscript"/>
        </w:rPr>
        <w:t>th</w:t>
      </w:r>
      <w:r w:rsidR="00A46367">
        <w:rPr>
          <w:b/>
          <w:bCs/>
          <w:color w:val="FF0000"/>
          <w:sz w:val="24"/>
        </w:rPr>
        <w:t xml:space="preserve"> January 2022</w:t>
      </w:r>
    </w:p>
    <w:p w14:paraId="77D74AB9" w14:textId="769B5786" w:rsidR="009547A8" w:rsidRDefault="009547A8" w:rsidP="009547A8">
      <w:pPr>
        <w:rPr>
          <w:b/>
          <w:bCs/>
          <w:sz w:val="24"/>
        </w:rPr>
      </w:pPr>
      <w:r>
        <w:rPr>
          <w:b/>
          <w:bCs/>
          <w:sz w:val="24"/>
        </w:rPr>
        <w:t xml:space="preserve">Location: </w:t>
      </w:r>
      <w:r w:rsidR="00875CB4">
        <w:rPr>
          <w:b/>
          <w:bCs/>
          <w:sz w:val="24"/>
        </w:rPr>
        <w:t>Various</w:t>
      </w:r>
    </w:p>
    <w:p w14:paraId="195A9DE2" w14:textId="1ECCCB63" w:rsidR="009547A8" w:rsidRDefault="009547A8" w:rsidP="009547A8">
      <w:pPr>
        <w:rPr>
          <w:b/>
          <w:bCs/>
          <w:sz w:val="24"/>
        </w:rPr>
      </w:pPr>
      <w:r>
        <w:rPr>
          <w:b/>
          <w:bCs/>
          <w:sz w:val="24"/>
        </w:rPr>
        <w:t xml:space="preserve">Name of person with Responsibility: </w:t>
      </w:r>
      <w:r w:rsidR="00875CB4">
        <w:rPr>
          <w:b/>
          <w:bCs/>
          <w:sz w:val="24"/>
        </w:rPr>
        <w:t>Tim Fox</w:t>
      </w:r>
      <w:r>
        <w:rPr>
          <w:b/>
          <w:bCs/>
          <w:sz w:val="24"/>
        </w:rPr>
        <w:t xml:space="preserve"> (</w:t>
      </w:r>
      <w:proofErr w:type="gramStart"/>
      <w:r w:rsidR="00875CB4">
        <w:rPr>
          <w:b/>
          <w:bCs/>
          <w:sz w:val="24"/>
        </w:rPr>
        <w:t>Vicar</w:t>
      </w:r>
      <w:r>
        <w:rPr>
          <w:b/>
          <w:bCs/>
          <w:sz w:val="24"/>
        </w:rPr>
        <w:t xml:space="preserve">)   </w:t>
      </w:r>
      <w:proofErr w:type="gramEnd"/>
      <w:r>
        <w:rPr>
          <w:b/>
          <w:bCs/>
          <w:sz w:val="24"/>
        </w:rPr>
        <w:t xml:space="preserve">                                      Date to be reviewed: TBA</w:t>
      </w:r>
    </w:p>
    <w:p w14:paraId="4467B88C" w14:textId="77777777" w:rsidR="009547A8" w:rsidRDefault="009547A8" w:rsidP="009547A8">
      <w:pPr>
        <w:rPr>
          <w:b/>
          <w:bCs/>
          <w:sz w:val="24"/>
        </w:rPr>
      </w:pPr>
    </w:p>
    <w:p w14:paraId="5A1FBDB5" w14:textId="1A0BCBA2" w:rsidR="009547A8" w:rsidRDefault="009547A8" w:rsidP="009547A8">
      <w:pPr>
        <w:rPr>
          <w:b/>
          <w:bCs/>
          <w:sz w:val="24"/>
        </w:rPr>
      </w:pPr>
      <w:r>
        <w:rPr>
          <w:b/>
          <w:bCs/>
          <w:sz w:val="24"/>
        </w:rPr>
        <w:t xml:space="preserve">This Risk Assessment assesses the risks arising from </w:t>
      </w:r>
      <w:r w:rsidR="00875CB4">
        <w:rPr>
          <w:b/>
          <w:bCs/>
          <w:sz w:val="24"/>
        </w:rPr>
        <w:t>Pastoral Visits in private residences</w:t>
      </w:r>
      <w:r>
        <w:rPr>
          <w:b/>
          <w:bCs/>
          <w:sz w:val="24"/>
        </w:rPr>
        <w:t xml:space="preserve">. This document recognises the natural wish to offer </w:t>
      </w:r>
      <w:r w:rsidR="00875CB4">
        <w:rPr>
          <w:b/>
          <w:bCs/>
          <w:sz w:val="24"/>
        </w:rPr>
        <w:t xml:space="preserve">support and </w:t>
      </w:r>
      <w:r>
        <w:rPr>
          <w:b/>
          <w:bCs/>
          <w:sz w:val="24"/>
        </w:rPr>
        <w:t xml:space="preserve">comfort </w:t>
      </w:r>
      <w:r w:rsidR="00875CB4">
        <w:rPr>
          <w:b/>
          <w:bCs/>
          <w:sz w:val="24"/>
        </w:rPr>
        <w:t xml:space="preserve">to those in need </w:t>
      </w:r>
      <w:r>
        <w:rPr>
          <w:b/>
          <w:bCs/>
          <w:sz w:val="24"/>
        </w:rPr>
        <w:t xml:space="preserve">but </w:t>
      </w:r>
      <w:r w:rsidR="00875CB4">
        <w:rPr>
          <w:b/>
          <w:bCs/>
          <w:sz w:val="24"/>
        </w:rPr>
        <w:t xml:space="preserve">stresses the importance of limiting </w:t>
      </w:r>
      <w:r>
        <w:rPr>
          <w:b/>
          <w:bCs/>
          <w:sz w:val="24"/>
        </w:rPr>
        <w:t xml:space="preserve">personal contact </w:t>
      </w:r>
      <w:r w:rsidR="00875CB4">
        <w:rPr>
          <w:b/>
          <w:bCs/>
          <w:sz w:val="24"/>
        </w:rPr>
        <w:t xml:space="preserve">between the minister offering pastoral support and the individual being visited. </w:t>
      </w:r>
    </w:p>
    <w:p w14:paraId="0EBDA358" w14:textId="77777777" w:rsidR="009547A8" w:rsidRDefault="009547A8" w:rsidP="009547A8">
      <w:pPr>
        <w:rPr>
          <w:b/>
          <w:bCs/>
          <w:sz w:val="24"/>
        </w:rPr>
      </w:pPr>
    </w:p>
    <w:p w14:paraId="1C30319A" w14:textId="3AE822E7" w:rsidR="009547A8" w:rsidRDefault="009547A8" w:rsidP="009547A8">
      <w:pPr>
        <w:rPr>
          <w:b/>
          <w:bCs/>
          <w:sz w:val="24"/>
        </w:rPr>
      </w:pPr>
      <w:r>
        <w:rPr>
          <w:b/>
          <w:bCs/>
          <w:sz w:val="24"/>
        </w:rPr>
        <w:t xml:space="preserve">Planning for the </w:t>
      </w:r>
      <w:r w:rsidR="00875CB4">
        <w:rPr>
          <w:b/>
          <w:bCs/>
          <w:sz w:val="24"/>
        </w:rPr>
        <w:t>Visit</w:t>
      </w:r>
      <w:r>
        <w:rPr>
          <w:b/>
          <w:bCs/>
          <w:sz w:val="24"/>
        </w:rPr>
        <w:t xml:space="preserve">: </w:t>
      </w:r>
    </w:p>
    <w:p w14:paraId="7FEB911F" w14:textId="77777777" w:rsidR="009547A8" w:rsidRDefault="009547A8" w:rsidP="009547A8">
      <w:pPr>
        <w:rPr>
          <w:b/>
          <w:bCs/>
          <w:sz w:val="24"/>
        </w:rPr>
      </w:pPr>
    </w:p>
    <w:p w14:paraId="0B2B4A9A" w14:textId="79719B61" w:rsidR="009547A8" w:rsidRDefault="00875CB4" w:rsidP="009547A8">
      <w:pPr>
        <w:pStyle w:val="ListParagraph"/>
        <w:numPr>
          <w:ilvl w:val="0"/>
          <w:numId w:val="3"/>
        </w:numPr>
        <w:rPr>
          <w:b/>
          <w:bCs/>
          <w:sz w:val="24"/>
        </w:rPr>
      </w:pPr>
      <w:r>
        <w:rPr>
          <w:b/>
          <w:bCs/>
          <w:sz w:val="24"/>
        </w:rPr>
        <w:t xml:space="preserve">Communion Set is to be prepared, with sufficient wafer breads in pyx, but no extra. No wine is needed as per Church of England Guidance to only offer communion in one kind. </w:t>
      </w:r>
    </w:p>
    <w:p w14:paraId="428B686A" w14:textId="595A94B3" w:rsidR="00FD3A95" w:rsidRDefault="00FD3A95" w:rsidP="00104C12">
      <w:pPr>
        <w:pStyle w:val="ListParagraph"/>
        <w:numPr>
          <w:ilvl w:val="0"/>
          <w:numId w:val="3"/>
        </w:numPr>
        <w:rPr>
          <w:b/>
          <w:bCs/>
          <w:sz w:val="24"/>
        </w:rPr>
      </w:pPr>
      <w:r w:rsidRPr="00A21D59">
        <w:rPr>
          <w:b/>
          <w:bCs/>
          <w:sz w:val="24"/>
        </w:rPr>
        <w:t xml:space="preserve">Individual requesting visit (for themselves or on behalf of someone else) to be informed of contents of this Risk Assessment, and particularly of measures needed to mitigate risk. </w:t>
      </w:r>
    </w:p>
    <w:p w14:paraId="74C7BE6A" w14:textId="7FFE77AB" w:rsidR="009547A8" w:rsidRPr="009804CD" w:rsidRDefault="009547A8" w:rsidP="009804CD">
      <w:pPr>
        <w:ind w:left="360"/>
        <w:rPr>
          <w:b/>
          <w:bCs/>
          <w:sz w:val="24"/>
        </w:rPr>
      </w:pPr>
    </w:p>
    <w:p w14:paraId="1A2C3D8E" w14:textId="77777777" w:rsidR="009547A8" w:rsidRDefault="009547A8" w:rsidP="009547A8">
      <w:pPr>
        <w:rPr>
          <w:b/>
          <w:bCs/>
          <w:sz w:val="24"/>
        </w:rPr>
      </w:pPr>
    </w:p>
    <w:p w14:paraId="16F93B40" w14:textId="77777777" w:rsidR="009547A8" w:rsidRDefault="009547A8" w:rsidP="009547A8"/>
    <w:p w14:paraId="7262D645" w14:textId="77777777" w:rsidR="009547A8" w:rsidRDefault="009547A8" w:rsidP="009547A8"/>
    <w:p w14:paraId="54C314F8" w14:textId="77777777" w:rsidR="009547A8" w:rsidRDefault="009547A8" w:rsidP="009547A8"/>
    <w:p w14:paraId="5B084A54" w14:textId="77777777" w:rsidR="009547A8" w:rsidRDefault="009547A8" w:rsidP="009547A8"/>
    <w:tbl>
      <w:tblPr>
        <w:tblStyle w:val="TableGrid"/>
        <w:tblpPr w:leftFromText="180" w:rightFromText="180" w:vertAnchor="page" w:horzAnchor="margin" w:tblpY="4876"/>
        <w:tblW w:w="5000" w:type="pct"/>
        <w:tblLook w:val="01E0" w:firstRow="1" w:lastRow="1" w:firstColumn="1" w:lastColumn="1" w:noHBand="0" w:noVBand="0"/>
      </w:tblPr>
      <w:tblGrid>
        <w:gridCol w:w="1851"/>
        <w:gridCol w:w="2954"/>
        <w:gridCol w:w="2472"/>
        <w:gridCol w:w="3194"/>
        <w:gridCol w:w="1353"/>
        <w:gridCol w:w="1477"/>
        <w:gridCol w:w="647"/>
      </w:tblGrid>
      <w:tr w:rsidR="009547A8" w:rsidRPr="00A01AA4" w14:paraId="1B381D82" w14:textId="77777777" w:rsidTr="009804CD">
        <w:trPr>
          <w:tblHeader/>
        </w:trPr>
        <w:tc>
          <w:tcPr>
            <w:tcW w:w="664" w:type="pct"/>
            <w:tcBorders>
              <w:bottom w:val="single" w:sz="4" w:space="0" w:color="auto"/>
            </w:tcBorders>
          </w:tcPr>
          <w:p w14:paraId="6818695B" w14:textId="77777777" w:rsidR="009547A8" w:rsidRPr="00862C2D" w:rsidRDefault="009547A8" w:rsidP="00074631">
            <w:pPr>
              <w:rPr>
                <w:rFonts w:asciiTheme="minorHAnsi" w:hAnsiTheme="minorHAnsi"/>
                <w:b/>
                <w:sz w:val="24"/>
              </w:rPr>
            </w:pPr>
            <w:r w:rsidRPr="00862C2D">
              <w:rPr>
                <w:rFonts w:asciiTheme="minorHAnsi" w:hAnsiTheme="minorHAnsi"/>
                <w:b/>
                <w:sz w:val="24"/>
              </w:rPr>
              <w:lastRenderedPageBreak/>
              <w:t>What are the hazards?</w:t>
            </w:r>
          </w:p>
        </w:tc>
        <w:tc>
          <w:tcPr>
            <w:tcW w:w="1059" w:type="pct"/>
          </w:tcPr>
          <w:p w14:paraId="0B8EB708" w14:textId="77777777" w:rsidR="009547A8" w:rsidRPr="00862C2D" w:rsidRDefault="009547A8" w:rsidP="00074631">
            <w:pPr>
              <w:rPr>
                <w:rFonts w:asciiTheme="minorHAnsi" w:hAnsiTheme="minorHAnsi"/>
                <w:b/>
                <w:sz w:val="24"/>
              </w:rPr>
            </w:pPr>
            <w:r w:rsidRPr="00862C2D">
              <w:rPr>
                <w:rFonts w:asciiTheme="minorHAnsi" w:hAnsiTheme="minorHAnsi"/>
                <w:b/>
                <w:sz w:val="24"/>
              </w:rPr>
              <w:t>Who might be harmed and how?</w:t>
            </w:r>
          </w:p>
        </w:tc>
        <w:tc>
          <w:tcPr>
            <w:tcW w:w="886" w:type="pct"/>
          </w:tcPr>
          <w:p w14:paraId="7D1061C1" w14:textId="77777777" w:rsidR="009547A8" w:rsidRPr="00862C2D" w:rsidRDefault="009547A8" w:rsidP="00074631">
            <w:pPr>
              <w:rPr>
                <w:rFonts w:asciiTheme="minorHAnsi" w:hAnsiTheme="minorHAnsi"/>
                <w:b/>
                <w:sz w:val="24"/>
              </w:rPr>
            </w:pPr>
            <w:r>
              <w:rPr>
                <w:rFonts w:asciiTheme="minorHAnsi" w:hAnsiTheme="minorHAnsi"/>
                <w:b/>
                <w:sz w:val="24"/>
              </w:rPr>
              <w:t>Controls required</w:t>
            </w:r>
          </w:p>
        </w:tc>
        <w:tc>
          <w:tcPr>
            <w:tcW w:w="1145" w:type="pct"/>
          </w:tcPr>
          <w:p w14:paraId="78831DA0" w14:textId="77777777" w:rsidR="009547A8" w:rsidRPr="00862C2D" w:rsidRDefault="009547A8" w:rsidP="00074631">
            <w:pPr>
              <w:rPr>
                <w:rFonts w:asciiTheme="minorHAnsi" w:hAnsiTheme="minorHAnsi"/>
                <w:b/>
                <w:sz w:val="24"/>
              </w:rPr>
            </w:pPr>
            <w:r w:rsidRPr="00862C2D">
              <w:rPr>
                <w:rFonts w:asciiTheme="minorHAnsi" w:hAnsiTheme="minorHAnsi"/>
                <w:b/>
                <w:sz w:val="24"/>
              </w:rPr>
              <w:t>Do you need to do anything else to manage this risk?</w:t>
            </w:r>
          </w:p>
        </w:tc>
        <w:tc>
          <w:tcPr>
            <w:tcW w:w="485" w:type="pct"/>
          </w:tcPr>
          <w:p w14:paraId="59146E59" w14:textId="77777777" w:rsidR="009547A8" w:rsidRPr="00862C2D" w:rsidRDefault="009547A8" w:rsidP="00074631">
            <w:pPr>
              <w:rPr>
                <w:rFonts w:asciiTheme="minorHAnsi" w:hAnsiTheme="minorHAnsi"/>
                <w:b/>
                <w:sz w:val="24"/>
              </w:rPr>
            </w:pPr>
            <w:r w:rsidRPr="00862C2D">
              <w:rPr>
                <w:rFonts w:asciiTheme="minorHAnsi" w:hAnsiTheme="minorHAnsi"/>
                <w:b/>
                <w:sz w:val="24"/>
              </w:rPr>
              <w:t>Action by whom?</w:t>
            </w:r>
          </w:p>
        </w:tc>
        <w:tc>
          <w:tcPr>
            <w:tcW w:w="529" w:type="pct"/>
          </w:tcPr>
          <w:p w14:paraId="7FDA2378" w14:textId="77777777" w:rsidR="009547A8" w:rsidRPr="00862C2D" w:rsidRDefault="009547A8" w:rsidP="00074631">
            <w:pPr>
              <w:rPr>
                <w:rFonts w:asciiTheme="minorHAnsi" w:hAnsiTheme="minorHAnsi"/>
                <w:b/>
                <w:sz w:val="24"/>
              </w:rPr>
            </w:pPr>
            <w:r w:rsidRPr="00862C2D">
              <w:rPr>
                <w:rFonts w:asciiTheme="minorHAnsi" w:hAnsiTheme="minorHAnsi"/>
                <w:b/>
                <w:sz w:val="24"/>
              </w:rPr>
              <w:t>Action by when?</w:t>
            </w:r>
          </w:p>
        </w:tc>
        <w:tc>
          <w:tcPr>
            <w:tcW w:w="232" w:type="pct"/>
          </w:tcPr>
          <w:p w14:paraId="6E8FBC4F" w14:textId="77777777" w:rsidR="009547A8" w:rsidRPr="00862C2D" w:rsidRDefault="009547A8" w:rsidP="00074631">
            <w:pPr>
              <w:rPr>
                <w:rFonts w:asciiTheme="minorHAnsi" w:hAnsiTheme="minorHAnsi"/>
                <w:b/>
                <w:sz w:val="24"/>
              </w:rPr>
            </w:pPr>
            <w:r w:rsidRPr="00862C2D">
              <w:rPr>
                <w:rFonts w:asciiTheme="minorHAnsi" w:hAnsiTheme="minorHAnsi"/>
                <w:b/>
                <w:sz w:val="24"/>
              </w:rPr>
              <w:t>Done</w:t>
            </w:r>
          </w:p>
        </w:tc>
      </w:tr>
      <w:tr w:rsidR="009804CD" w:rsidRPr="006912F1" w14:paraId="00911837" w14:textId="77777777" w:rsidTr="009804CD">
        <w:tc>
          <w:tcPr>
            <w:tcW w:w="664" w:type="pct"/>
            <w:tcBorders>
              <w:bottom w:val="nil"/>
            </w:tcBorders>
          </w:tcPr>
          <w:p w14:paraId="78777F72" w14:textId="77777777" w:rsidR="009804CD" w:rsidRPr="006912F1" w:rsidRDefault="009804CD" w:rsidP="009804CD">
            <w:pPr>
              <w:rPr>
                <w:iCs/>
                <w:sz w:val="24"/>
              </w:rPr>
            </w:pPr>
          </w:p>
        </w:tc>
        <w:tc>
          <w:tcPr>
            <w:tcW w:w="1059" w:type="pct"/>
          </w:tcPr>
          <w:p w14:paraId="1B612B48" w14:textId="77777777" w:rsidR="009804CD" w:rsidRPr="006912F1" w:rsidRDefault="009804CD" w:rsidP="009804CD">
            <w:pPr>
              <w:rPr>
                <w:iCs/>
                <w:sz w:val="24"/>
              </w:rPr>
            </w:pPr>
            <w:r>
              <w:rPr>
                <w:iCs/>
                <w:sz w:val="24"/>
              </w:rPr>
              <w:t>As above</w:t>
            </w:r>
          </w:p>
        </w:tc>
        <w:tc>
          <w:tcPr>
            <w:tcW w:w="886" w:type="pct"/>
          </w:tcPr>
          <w:p w14:paraId="79C62E29" w14:textId="77777777" w:rsidR="009804CD" w:rsidRDefault="009804CD" w:rsidP="009804CD">
            <w:pPr>
              <w:rPr>
                <w:b/>
                <w:bCs/>
                <w:iCs/>
                <w:sz w:val="24"/>
              </w:rPr>
            </w:pPr>
            <w:r>
              <w:rPr>
                <w:b/>
                <w:bCs/>
                <w:iCs/>
                <w:sz w:val="24"/>
              </w:rPr>
              <w:t>Lateral Flow Testing (Self Testing)</w:t>
            </w:r>
          </w:p>
          <w:p w14:paraId="42E5E643" w14:textId="77777777" w:rsidR="009804CD" w:rsidRPr="002A23F4" w:rsidRDefault="009804CD" w:rsidP="009804CD">
            <w:pPr>
              <w:rPr>
                <w:iCs/>
                <w:sz w:val="24"/>
              </w:rPr>
            </w:pPr>
            <w:r>
              <w:rPr>
                <w:iCs/>
                <w:sz w:val="24"/>
              </w:rPr>
              <w:t xml:space="preserve">It </w:t>
            </w:r>
            <w:proofErr w:type="gramStart"/>
            <w:r>
              <w:rPr>
                <w:iCs/>
                <w:sz w:val="24"/>
              </w:rPr>
              <w:t>is considered to be</w:t>
            </w:r>
            <w:proofErr w:type="gramEnd"/>
            <w:r>
              <w:rPr>
                <w:iCs/>
                <w:sz w:val="24"/>
              </w:rPr>
              <w:t xml:space="preserve"> best practice for the minister (and any others who might accompany) to take a Covid-19 Rapid Self-Test (Lateral Flow Test - LFT) on the morning of the visit. If this test in positive, the visit should be cancelled, and Govt Guidance followed relating to a positive LFT result. If the result is negative, other mitigations (below) should still be used. </w:t>
            </w:r>
          </w:p>
        </w:tc>
        <w:tc>
          <w:tcPr>
            <w:tcW w:w="1145" w:type="pct"/>
          </w:tcPr>
          <w:p w14:paraId="08BF6C7D" w14:textId="77777777" w:rsidR="009804CD" w:rsidRDefault="009804CD" w:rsidP="009804CD">
            <w:pPr>
              <w:rPr>
                <w:iCs/>
                <w:sz w:val="24"/>
              </w:rPr>
            </w:pPr>
            <w:r>
              <w:rPr>
                <w:iCs/>
                <w:sz w:val="24"/>
              </w:rPr>
              <w:t>No</w:t>
            </w:r>
          </w:p>
        </w:tc>
        <w:tc>
          <w:tcPr>
            <w:tcW w:w="485" w:type="pct"/>
          </w:tcPr>
          <w:p w14:paraId="32B1AA36" w14:textId="77777777" w:rsidR="009804CD" w:rsidRDefault="009804CD" w:rsidP="009804CD">
            <w:pPr>
              <w:rPr>
                <w:iCs/>
                <w:sz w:val="24"/>
              </w:rPr>
            </w:pPr>
            <w:r>
              <w:rPr>
                <w:iCs/>
                <w:sz w:val="24"/>
              </w:rPr>
              <w:t xml:space="preserve">Minister </w:t>
            </w:r>
          </w:p>
        </w:tc>
        <w:tc>
          <w:tcPr>
            <w:tcW w:w="529" w:type="pct"/>
          </w:tcPr>
          <w:p w14:paraId="64DBB94C" w14:textId="77777777" w:rsidR="009804CD" w:rsidRDefault="009804CD" w:rsidP="009804CD">
            <w:pPr>
              <w:rPr>
                <w:iCs/>
                <w:sz w:val="24"/>
              </w:rPr>
            </w:pPr>
            <w:r>
              <w:rPr>
                <w:iCs/>
                <w:sz w:val="24"/>
              </w:rPr>
              <w:t>Before Visit</w:t>
            </w:r>
          </w:p>
        </w:tc>
        <w:tc>
          <w:tcPr>
            <w:tcW w:w="232" w:type="pct"/>
          </w:tcPr>
          <w:p w14:paraId="5C609716" w14:textId="77777777" w:rsidR="009804CD" w:rsidRPr="006912F1" w:rsidRDefault="009804CD" w:rsidP="009804CD">
            <w:pPr>
              <w:rPr>
                <w:iCs/>
                <w:sz w:val="24"/>
              </w:rPr>
            </w:pPr>
            <w:r>
              <w:rPr>
                <w:iCs/>
                <w:sz w:val="24"/>
              </w:rPr>
              <w:t>N/A</w:t>
            </w:r>
          </w:p>
        </w:tc>
      </w:tr>
      <w:tr w:rsidR="009547A8" w:rsidRPr="000D0129" w14:paraId="475DA4B1" w14:textId="77777777" w:rsidTr="009804CD">
        <w:tc>
          <w:tcPr>
            <w:tcW w:w="664" w:type="pct"/>
            <w:tcBorders>
              <w:bottom w:val="nil"/>
            </w:tcBorders>
          </w:tcPr>
          <w:p w14:paraId="52D0D2FA" w14:textId="77777777" w:rsidR="009547A8" w:rsidRPr="006912F1" w:rsidRDefault="009547A8" w:rsidP="00074631">
            <w:pPr>
              <w:rPr>
                <w:iCs/>
                <w:sz w:val="24"/>
              </w:rPr>
            </w:pPr>
            <w:r w:rsidRPr="006912F1">
              <w:rPr>
                <w:iCs/>
                <w:sz w:val="24"/>
              </w:rPr>
              <w:t>Spread of COVID 19</w:t>
            </w:r>
          </w:p>
          <w:p w14:paraId="303A96FD" w14:textId="77777777" w:rsidR="009547A8" w:rsidRPr="00036CDA" w:rsidRDefault="009547A8" w:rsidP="00074631">
            <w:pPr>
              <w:rPr>
                <w:b/>
                <w:bCs/>
                <w:i/>
              </w:rPr>
            </w:pPr>
          </w:p>
        </w:tc>
        <w:tc>
          <w:tcPr>
            <w:tcW w:w="1059" w:type="pct"/>
          </w:tcPr>
          <w:p w14:paraId="52BF3D67" w14:textId="7843F115" w:rsidR="009547A8" w:rsidRPr="006912F1" w:rsidRDefault="009547A8" w:rsidP="00074631">
            <w:pPr>
              <w:rPr>
                <w:iCs/>
                <w:sz w:val="24"/>
              </w:rPr>
            </w:pPr>
            <w:r w:rsidRPr="006912F1">
              <w:rPr>
                <w:iCs/>
                <w:sz w:val="24"/>
              </w:rPr>
              <w:t xml:space="preserve">All </w:t>
            </w:r>
            <w:r w:rsidR="004150D6">
              <w:rPr>
                <w:iCs/>
                <w:sz w:val="24"/>
              </w:rPr>
              <w:t xml:space="preserve">present in house during Pastoral Visit, and </w:t>
            </w:r>
            <w:r w:rsidR="004150D6">
              <w:rPr>
                <w:iCs/>
                <w:sz w:val="24"/>
              </w:rPr>
              <w:lastRenderedPageBreak/>
              <w:t>Minister. T</w:t>
            </w:r>
            <w:r w:rsidRPr="006912F1">
              <w:rPr>
                <w:iCs/>
                <w:sz w:val="24"/>
              </w:rPr>
              <w:t xml:space="preserve">hose whom they subsequently </w:t>
            </w:r>
            <w:r w:rsidR="004150D6">
              <w:rPr>
                <w:iCs/>
                <w:sz w:val="24"/>
              </w:rPr>
              <w:t xml:space="preserve">contact. </w:t>
            </w:r>
          </w:p>
        </w:tc>
        <w:tc>
          <w:tcPr>
            <w:tcW w:w="886" w:type="pct"/>
          </w:tcPr>
          <w:p w14:paraId="0DA37BED" w14:textId="77777777" w:rsidR="009547A8" w:rsidRPr="006912F1" w:rsidRDefault="009547A8" w:rsidP="00074631">
            <w:pPr>
              <w:rPr>
                <w:b/>
                <w:bCs/>
                <w:iCs/>
                <w:sz w:val="24"/>
              </w:rPr>
            </w:pPr>
            <w:r w:rsidRPr="006912F1">
              <w:rPr>
                <w:b/>
                <w:bCs/>
                <w:iCs/>
                <w:sz w:val="24"/>
              </w:rPr>
              <w:lastRenderedPageBreak/>
              <w:t>Numbers attending</w:t>
            </w:r>
          </w:p>
          <w:p w14:paraId="53D5EEF7" w14:textId="5D250596" w:rsidR="009547A8" w:rsidRPr="006912F1" w:rsidRDefault="004150D6" w:rsidP="00074631">
            <w:pPr>
              <w:rPr>
                <w:iCs/>
                <w:sz w:val="24"/>
              </w:rPr>
            </w:pPr>
            <w:r>
              <w:rPr>
                <w:iCs/>
                <w:sz w:val="24"/>
              </w:rPr>
              <w:lastRenderedPageBreak/>
              <w:t xml:space="preserve">Whilst it is recognised that for safeguarding reasons, the minimum number of people present during the visit will ideally be 3, further people present in the residence will be asked to remain in a different room </w:t>
            </w:r>
            <w:r w:rsidR="00FD3A95">
              <w:rPr>
                <w:iCs/>
                <w:sz w:val="24"/>
              </w:rPr>
              <w:t>(</w:t>
            </w:r>
            <w:r>
              <w:rPr>
                <w:iCs/>
                <w:sz w:val="24"/>
              </w:rPr>
              <w:t>if possible</w:t>
            </w:r>
            <w:r w:rsidR="00FD3A95">
              <w:rPr>
                <w:iCs/>
                <w:sz w:val="24"/>
              </w:rPr>
              <w:t>)</w:t>
            </w:r>
            <w:r>
              <w:rPr>
                <w:iCs/>
                <w:sz w:val="24"/>
              </w:rPr>
              <w:t xml:space="preserve"> during the visit. </w:t>
            </w:r>
          </w:p>
        </w:tc>
        <w:tc>
          <w:tcPr>
            <w:tcW w:w="1145" w:type="pct"/>
          </w:tcPr>
          <w:p w14:paraId="513D5897" w14:textId="609D8F4E" w:rsidR="009547A8" w:rsidRPr="006912F1" w:rsidRDefault="004150D6" w:rsidP="00074631">
            <w:pPr>
              <w:rPr>
                <w:iCs/>
                <w:sz w:val="24"/>
              </w:rPr>
            </w:pPr>
            <w:r>
              <w:rPr>
                <w:iCs/>
                <w:sz w:val="24"/>
              </w:rPr>
              <w:lastRenderedPageBreak/>
              <w:t xml:space="preserve">The Cooperation of the </w:t>
            </w:r>
            <w:r w:rsidR="00B522D4">
              <w:rPr>
                <w:iCs/>
                <w:sz w:val="24"/>
              </w:rPr>
              <w:t>individual requesting</w:t>
            </w:r>
            <w:r>
              <w:rPr>
                <w:iCs/>
                <w:sz w:val="24"/>
              </w:rPr>
              <w:t xml:space="preserve"> the visit </w:t>
            </w:r>
            <w:r>
              <w:rPr>
                <w:iCs/>
                <w:sz w:val="24"/>
              </w:rPr>
              <w:lastRenderedPageBreak/>
              <w:t xml:space="preserve">should be sought before the visit takes place.  </w:t>
            </w:r>
            <w:r w:rsidR="00B522D4">
              <w:rPr>
                <w:iCs/>
                <w:sz w:val="24"/>
              </w:rPr>
              <w:t xml:space="preserve">They should be reminded of this control at the start of the visit. </w:t>
            </w:r>
          </w:p>
        </w:tc>
        <w:tc>
          <w:tcPr>
            <w:tcW w:w="485" w:type="pct"/>
          </w:tcPr>
          <w:p w14:paraId="397C710C" w14:textId="5B504169" w:rsidR="009547A8" w:rsidRPr="006912F1" w:rsidRDefault="004150D6" w:rsidP="00074631">
            <w:pPr>
              <w:rPr>
                <w:iCs/>
                <w:sz w:val="24"/>
              </w:rPr>
            </w:pPr>
            <w:r>
              <w:rPr>
                <w:iCs/>
                <w:sz w:val="24"/>
              </w:rPr>
              <w:lastRenderedPageBreak/>
              <w:t>Minister</w:t>
            </w:r>
          </w:p>
        </w:tc>
        <w:tc>
          <w:tcPr>
            <w:tcW w:w="529" w:type="pct"/>
          </w:tcPr>
          <w:p w14:paraId="7609AB2E" w14:textId="26BF2343" w:rsidR="009547A8" w:rsidRPr="006912F1" w:rsidRDefault="004150D6" w:rsidP="00074631">
            <w:pPr>
              <w:rPr>
                <w:iCs/>
                <w:sz w:val="24"/>
              </w:rPr>
            </w:pPr>
            <w:r>
              <w:rPr>
                <w:iCs/>
                <w:sz w:val="24"/>
              </w:rPr>
              <w:t xml:space="preserve">Before Visit </w:t>
            </w:r>
          </w:p>
        </w:tc>
        <w:tc>
          <w:tcPr>
            <w:tcW w:w="232" w:type="pct"/>
          </w:tcPr>
          <w:p w14:paraId="6BF8EB09" w14:textId="77777777" w:rsidR="009547A8" w:rsidRPr="006912F1" w:rsidRDefault="009547A8" w:rsidP="00074631">
            <w:pPr>
              <w:rPr>
                <w:iCs/>
                <w:sz w:val="24"/>
              </w:rPr>
            </w:pPr>
            <w:r w:rsidRPr="006912F1">
              <w:rPr>
                <w:iCs/>
                <w:sz w:val="24"/>
              </w:rPr>
              <w:t>N/A</w:t>
            </w:r>
          </w:p>
        </w:tc>
      </w:tr>
      <w:tr w:rsidR="004150D6" w14:paraId="29CBA3B3" w14:textId="77777777" w:rsidTr="009804CD">
        <w:tc>
          <w:tcPr>
            <w:tcW w:w="664" w:type="pct"/>
            <w:tcBorders>
              <w:top w:val="nil"/>
            </w:tcBorders>
          </w:tcPr>
          <w:p w14:paraId="6E83EDD8" w14:textId="77777777" w:rsidR="004150D6" w:rsidRPr="00680EAF" w:rsidRDefault="004150D6" w:rsidP="004150D6">
            <w:pPr>
              <w:rPr>
                <w:sz w:val="24"/>
              </w:rPr>
            </w:pPr>
            <w:r w:rsidRPr="00680EAF">
              <w:rPr>
                <w:sz w:val="24"/>
              </w:rPr>
              <w:t>As above</w:t>
            </w:r>
          </w:p>
        </w:tc>
        <w:tc>
          <w:tcPr>
            <w:tcW w:w="1059" w:type="pct"/>
          </w:tcPr>
          <w:p w14:paraId="5648659D" w14:textId="77777777" w:rsidR="004150D6" w:rsidRPr="00680EAF" w:rsidRDefault="004150D6" w:rsidP="004150D6">
            <w:pPr>
              <w:rPr>
                <w:sz w:val="24"/>
              </w:rPr>
            </w:pPr>
            <w:r w:rsidRPr="00680EAF">
              <w:rPr>
                <w:sz w:val="24"/>
              </w:rPr>
              <w:t>As above</w:t>
            </w:r>
          </w:p>
        </w:tc>
        <w:tc>
          <w:tcPr>
            <w:tcW w:w="886" w:type="pct"/>
          </w:tcPr>
          <w:p w14:paraId="326F127A" w14:textId="77777777" w:rsidR="004150D6" w:rsidRDefault="004150D6" w:rsidP="004150D6">
            <w:pPr>
              <w:rPr>
                <w:b/>
                <w:bCs/>
                <w:sz w:val="24"/>
              </w:rPr>
            </w:pPr>
            <w:r>
              <w:rPr>
                <w:b/>
                <w:bCs/>
                <w:sz w:val="24"/>
              </w:rPr>
              <w:t>Social Distancing</w:t>
            </w:r>
          </w:p>
          <w:p w14:paraId="178F44E0" w14:textId="4F4C823E" w:rsidR="004150D6" w:rsidRPr="00FD3A95" w:rsidRDefault="004150D6" w:rsidP="00FD3A95">
            <w:pPr>
              <w:rPr>
                <w:sz w:val="24"/>
              </w:rPr>
            </w:pPr>
            <w:r w:rsidRPr="00FD3A95">
              <w:rPr>
                <w:sz w:val="24"/>
              </w:rPr>
              <w:t xml:space="preserve">All </w:t>
            </w:r>
            <w:proofErr w:type="gramStart"/>
            <w:r w:rsidRPr="00FD3A95">
              <w:rPr>
                <w:sz w:val="24"/>
              </w:rPr>
              <w:t>present</w:t>
            </w:r>
            <w:proofErr w:type="gramEnd"/>
            <w:r w:rsidRPr="00FD3A95">
              <w:rPr>
                <w:sz w:val="24"/>
              </w:rPr>
              <w:t xml:space="preserve"> will always be asked to </w:t>
            </w:r>
            <w:r w:rsidR="00B05B6C">
              <w:rPr>
                <w:sz w:val="24"/>
              </w:rPr>
              <w:t xml:space="preserve">consider keep an appropriate distance, where possible. However, full 2m ‘social distancing’ is no longer a requirement, although it may </w:t>
            </w:r>
            <w:proofErr w:type="gramStart"/>
            <w:r w:rsidR="00B05B6C">
              <w:rPr>
                <w:sz w:val="24"/>
              </w:rPr>
              <w:t>be considered to be</w:t>
            </w:r>
            <w:proofErr w:type="gramEnd"/>
            <w:r w:rsidR="00B05B6C">
              <w:rPr>
                <w:sz w:val="24"/>
              </w:rPr>
              <w:t xml:space="preserve"> ‘best practice’ and adopted where possible. </w:t>
            </w:r>
          </w:p>
        </w:tc>
        <w:tc>
          <w:tcPr>
            <w:tcW w:w="1145" w:type="pct"/>
          </w:tcPr>
          <w:p w14:paraId="5A54960E" w14:textId="0BC660BD" w:rsidR="004150D6" w:rsidRPr="00680EAF" w:rsidRDefault="00B522D4" w:rsidP="004150D6">
            <w:pPr>
              <w:rPr>
                <w:sz w:val="24"/>
              </w:rPr>
            </w:pPr>
            <w:r>
              <w:rPr>
                <w:iCs/>
                <w:sz w:val="24"/>
              </w:rPr>
              <w:t xml:space="preserve">The Cooperation of the individual requesting the visit should be sought before the visit takes place.  They should be reminded of this control at the start of the visit. </w:t>
            </w:r>
          </w:p>
        </w:tc>
        <w:tc>
          <w:tcPr>
            <w:tcW w:w="485" w:type="pct"/>
          </w:tcPr>
          <w:p w14:paraId="7A0D80F5" w14:textId="22943C63" w:rsidR="004150D6" w:rsidRPr="00680EAF" w:rsidRDefault="004150D6" w:rsidP="004150D6">
            <w:pPr>
              <w:rPr>
                <w:sz w:val="24"/>
              </w:rPr>
            </w:pPr>
            <w:r>
              <w:rPr>
                <w:iCs/>
                <w:sz w:val="24"/>
              </w:rPr>
              <w:t>Minister</w:t>
            </w:r>
          </w:p>
        </w:tc>
        <w:tc>
          <w:tcPr>
            <w:tcW w:w="529" w:type="pct"/>
          </w:tcPr>
          <w:p w14:paraId="73192A17" w14:textId="2B07C06D" w:rsidR="004150D6" w:rsidRPr="00680EAF" w:rsidRDefault="00B05B6C" w:rsidP="004150D6">
            <w:pPr>
              <w:rPr>
                <w:sz w:val="24"/>
              </w:rPr>
            </w:pPr>
            <w:r>
              <w:rPr>
                <w:sz w:val="24"/>
              </w:rPr>
              <w:t>Before Visit / as visit commences.</w:t>
            </w:r>
          </w:p>
        </w:tc>
        <w:tc>
          <w:tcPr>
            <w:tcW w:w="232" w:type="pct"/>
          </w:tcPr>
          <w:p w14:paraId="2770B48F" w14:textId="77777777" w:rsidR="004150D6" w:rsidRDefault="004150D6" w:rsidP="004150D6"/>
        </w:tc>
      </w:tr>
      <w:tr w:rsidR="004150D6" w14:paraId="2ADF8830" w14:textId="77777777" w:rsidTr="009804CD">
        <w:tc>
          <w:tcPr>
            <w:tcW w:w="664" w:type="pct"/>
          </w:tcPr>
          <w:p w14:paraId="58B46197" w14:textId="77777777" w:rsidR="004150D6" w:rsidRDefault="004150D6" w:rsidP="004150D6">
            <w:r w:rsidRPr="00680EAF">
              <w:rPr>
                <w:sz w:val="24"/>
              </w:rPr>
              <w:t>As above</w:t>
            </w:r>
          </w:p>
          <w:p w14:paraId="1B10BF7D" w14:textId="77777777" w:rsidR="004150D6" w:rsidRDefault="004150D6" w:rsidP="004150D6"/>
          <w:p w14:paraId="6C8EEBE2" w14:textId="77777777" w:rsidR="004150D6" w:rsidRDefault="004150D6" w:rsidP="004150D6"/>
        </w:tc>
        <w:tc>
          <w:tcPr>
            <w:tcW w:w="1059" w:type="pct"/>
          </w:tcPr>
          <w:p w14:paraId="41FC3643" w14:textId="77777777" w:rsidR="004150D6" w:rsidRDefault="004150D6" w:rsidP="004150D6">
            <w:r w:rsidRPr="00680EAF">
              <w:rPr>
                <w:sz w:val="24"/>
              </w:rPr>
              <w:t>As above</w:t>
            </w:r>
          </w:p>
        </w:tc>
        <w:tc>
          <w:tcPr>
            <w:tcW w:w="886" w:type="pct"/>
          </w:tcPr>
          <w:p w14:paraId="03BA773E" w14:textId="77777777" w:rsidR="004150D6" w:rsidRDefault="004150D6" w:rsidP="004150D6">
            <w:pPr>
              <w:rPr>
                <w:b/>
                <w:bCs/>
                <w:sz w:val="24"/>
              </w:rPr>
            </w:pPr>
            <w:r>
              <w:rPr>
                <w:b/>
                <w:bCs/>
                <w:sz w:val="24"/>
              </w:rPr>
              <w:t>Hand sanitation</w:t>
            </w:r>
          </w:p>
          <w:p w14:paraId="237D4344" w14:textId="44CBC554" w:rsidR="004150D6" w:rsidRPr="00E9183E" w:rsidRDefault="004150D6" w:rsidP="004150D6">
            <w:pPr>
              <w:rPr>
                <w:sz w:val="24"/>
              </w:rPr>
            </w:pPr>
            <w:r>
              <w:rPr>
                <w:sz w:val="24"/>
              </w:rPr>
              <w:lastRenderedPageBreak/>
              <w:t xml:space="preserve">The Minister’s hands should be sanitised on entry and exit. Hand Sanitiser should be brought by the Minister to the residence being visited. </w:t>
            </w:r>
          </w:p>
        </w:tc>
        <w:tc>
          <w:tcPr>
            <w:tcW w:w="1145" w:type="pct"/>
          </w:tcPr>
          <w:p w14:paraId="178A54F5" w14:textId="77777777" w:rsidR="004150D6" w:rsidRPr="00E9183E" w:rsidRDefault="004150D6" w:rsidP="004150D6">
            <w:pPr>
              <w:rPr>
                <w:sz w:val="24"/>
              </w:rPr>
            </w:pPr>
            <w:r w:rsidRPr="00E9183E">
              <w:rPr>
                <w:sz w:val="24"/>
              </w:rPr>
              <w:lastRenderedPageBreak/>
              <w:t>No</w:t>
            </w:r>
          </w:p>
        </w:tc>
        <w:tc>
          <w:tcPr>
            <w:tcW w:w="485" w:type="pct"/>
          </w:tcPr>
          <w:p w14:paraId="30E9F8E5" w14:textId="608FE4BF" w:rsidR="004150D6" w:rsidRPr="00E9183E" w:rsidRDefault="004150D6" w:rsidP="004150D6">
            <w:pPr>
              <w:rPr>
                <w:sz w:val="24"/>
              </w:rPr>
            </w:pPr>
            <w:r>
              <w:rPr>
                <w:iCs/>
                <w:sz w:val="24"/>
              </w:rPr>
              <w:t>Minister</w:t>
            </w:r>
          </w:p>
        </w:tc>
        <w:tc>
          <w:tcPr>
            <w:tcW w:w="529" w:type="pct"/>
          </w:tcPr>
          <w:p w14:paraId="1AFE4462" w14:textId="1A4BA793" w:rsidR="004150D6" w:rsidRPr="00E9183E" w:rsidRDefault="004150D6" w:rsidP="004150D6">
            <w:pPr>
              <w:rPr>
                <w:sz w:val="24"/>
              </w:rPr>
            </w:pPr>
            <w:r>
              <w:rPr>
                <w:sz w:val="24"/>
              </w:rPr>
              <w:t>During Visit.</w:t>
            </w:r>
          </w:p>
        </w:tc>
        <w:tc>
          <w:tcPr>
            <w:tcW w:w="232" w:type="pct"/>
          </w:tcPr>
          <w:p w14:paraId="27921941" w14:textId="77777777" w:rsidR="004150D6" w:rsidRDefault="004150D6" w:rsidP="004150D6"/>
        </w:tc>
      </w:tr>
      <w:tr w:rsidR="004150D6" w14:paraId="5E955E8F" w14:textId="77777777" w:rsidTr="009804CD">
        <w:tc>
          <w:tcPr>
            <w:tcW w:w="664" w:type="pct"/>
          </w:tcPr>
          <w:p w14:paraId="5C786E68" w14:textId="77777777" w:rsidR="004150D6" w:rsidRDefault="004150D6" w:rsidP="004150D6">
            <w:r w:rsidRPr="00680EAF">
              <w:rPr>
                <w:sz w:val="24"/>
              </w:rPr>
              <w:t>As above</w:t>
            </w:r>
          </w:p>
          <w:p w14:paraId="133064E0" w14:textId="77777777" w:rsidR="004150D6" w:rsidRDefault="004150D6" w:rsidP="004150D6"/>
          <w:p w14:paraId="429A97BA" w14:textId="77777777" w:rsidR="004150D6" w:rsidRDefault="004150D6" w:rsidP="004150D6"/>
        </w:tc>
        <w:tc>
          <w:tcPr>
            <w:tcW w:w="1059" w:type="pct"/>
          </w:tcPr>
          <w:p w14:paraId="3FBB96CF" w14:textId="77777777" w:rsidR="004150D6" w:rsidRDefault="004150D6" w:rsidP="004150D6">
            <w:r w:rsidRPr="00680EAF">
              <w:rPr>
                <w:sz w:val="24"/>
              </w:rPr>
              <w:t>As above</w:t>
            </w:r>
          </w:p>
        </w:tc>
        <w:tc>
          <w:tcPr>
            <w:tcW w:w="886" w:type="pct"/>
          </w:tcPr>
          <w:p w14:paraId="1A954DAE" w14:textId="77777777" w:rsidR="004150D6" w:rsidRDefault="004150D6" w:rsidP="004150D6">
            <w:pPr>
              <w:rPr>
                <w:b/>
                <w:bCs/>
                <w:sz w:val="24"/>
              </w:rPr>
            </w:pPr>
            <w:r>
              <w:rPr>
                <w:b/>
                <w:bCs/>
                <w:sz w:val="24"/>
              </w:rPr>
              <w:t>Ventilation</w:t>
            </w:r>
          </w:p>
          <w:p w14:paraId="6CD1D4D0" w14:textId="40AEA1F6" w:rsidR="004150D6" w:rsidRPr="00E9183E" w:rsidRDefault="004150D6" w:rsidP="004150D6">
            <w:pPr>
              <w:rPr>
                <w:sz w:val="24"/>
              </w:rPr>
            </w:pPr>
            <w:r>
              <w:rPr>
                <w:sz w:val="24"/>
              </w:rPr>
              <w:t xml:space="preserve">Good ventilation is a key mitigation. </w:t>
            </w:r>
            <w:proofErr w:type="gramStart"/>
            <w:r w:rsidR="00FD3A95">
              <w:rPr>
                <w:sz w:val="24"/>
              </w:rPr>
              <w:t>If at all possible</w:t>
            </w:r>
            <w:proofErr w:type="gramEnd"/>
            <w:r w:rsidR="00FD3A95">
              <w:rPr>
                <w:sz w:val="24"/>
              </w:rPr>
              <w:t xml:space="preserve">, windows shall be opened in the room where visit takes place. </w:t>
            </w:r>
          </w:p>
        </w:tc>
        <w:tc>
          <w:tcPr>
            <w:tcW w:w="1145" w:type="pct"/>
          </w:tcPr>
          <w:p w14:paraId="48DE3024" w14:textId="5479EED4" w:rsidR="004150D6" w:rsidRPr="006A27EB" w:rsidRDefault="00B522D4" w:rsidP="004150D6">
            <w:pPr>
              <w:rPr>
                <w:sz w:val="24"/>
              </w:rPr>
            </w:pPr>
            <w:r>
              <w:rPr>
                <w:iCs/>
                <w:sz w:val="24"/>
              </w:rPr>
              <w:t xml:space="preserve">The Cooperation of the individual requesting the visit should be sought before the visit takes place.  They should be reminded of this control at the start of the visit. </w:t>
            </w:r>
          </w:p>
        </w:tc>
        <w:tc>
          <w:tcPr>
            <w:tcW w:w="485" w:type="pct"/>
          </w:tcPr>
          <w:p w14:paraId="0EE9A33B" w14:textId="11179BF8" w:rsidR="004150D6" w:rsidRDefault="00FD3A95" w:rsidP="004150D6">
            <w:r>
              <w:rPr>
                <w:iCs/>
                <w:sz w:val="24"/>
              </w:rPr>
              <w:t>Minister</w:t>
            </w:r>
          </w:p>
        </w:tc>
        <w:tc>
          <w:tcPr>
            <w:tcW w:w="529" w:type="pct"/>
          </w:tcPr>
          <w:p w14:paraId="3427D338" w14:textId="4885A65F" w:rsidR="004150D6" w:rsidRDefault="00B05B6C" w:rsidP="004150D6">
            <w:r>
              <w:rPr>
                <w:sz w:val="24"/>
              </w:rPr>
              <w:t>Before Visit / as visit commences.</w:t>
            </w:r>
          </w:p>
        </w:tc>
        <w:tc>
          <w:tcPr>
            <w:tcW w:w="232" w:type="pct"/>
          </w:tcPr>
          <w:p w14:paraId="76DEDB70" w14:textId="77777777" w:rsidR="004150D6" w:rsidRDefault="004150D6" w:rsidP="004150D6"/>
        </w:tc>
      </w:tr>
      <w:tr w:rsidR="004150D6" w14:paraId="55E2BD5D" w14:textId="77777777" w:rsidTr="009804CD">
        <w:tc>
          <w:tcPr>
            <w:tcW w:w="664" w:type="pct"/>
          </w:tcPr>
          <w:p w14:paraId="23596BFE" w14:textId="77777777" w:rsidR="004150D6" w:rsidRDefault="004150D6" w:rsidP="004150D6">
            <w:r w:rsidRPr="00680EAF">
              <w:rPr>
                <w:sz w:val="24"/>
              </w:rPr>
              <w:t>As above</w:t>
            </w:r>
          </w:p>
          <w:p w14:paraId="3890B329" w14:textId="77777777" w:rsidR="004150D6" w:rsidRDefault="004150D6" w:rsidP="004150D6"/>
          <w:p w14:paraId="2235F51A" w14:textId="77777777" w:rsidR="004150D6" w:rsidRDefault="004150D6" w:rsidP="004150D6"/>
        </w:tc>
        <w:tc>
          <w:tcPr>
            <w:tcW w:w="1059" w:type="pct"/>
          </w:tcPr>
          <w:p w14:paraId="0B08ABAF" w14:textId="77777777" w:rsidR="004150D6" w:rsidRDefault="004150D6" w:rsidP="004150D6">
            <w:r w:rsidRPr="00680EAF">
              <w:rPr>
                <w:sz w:val="24"/>
              </w:rPr>
              <w:t>As above</w:t>
            </w:r>
          </w:p>
        </w:tc>
        <w:tc>
          <w:tcPr>
            <w:tcW w:w="886" w:type="pct"/>
          </w:tcPr>
          <w:p w14:paraId="66AF05C1" w14:textId="77777777" w:rsidR="004150D6" w:rsidRDefault="004150D6" w:rsidP="004150D6">
            <w:pPr>
              <w:rPr>
                <w:b/>
                <w:bCs/>
                <w:sz w:val="24"/>
              </w:rPr>
            </w:pPr>
            <w:r>
              <w:rPr>
                <w:b/>
                <w:bCs/>
                <w:sz w:val="24"/>
              </w:rPr>
              <w:t>Face coverings</w:t>
            </w:r>
          </w:p>
          <w:p w14:paraId="637CAB42" w14:textId="30B3D949" w:rsidR="004150D6" w:rsidRPr="006A27EB" w:rsidRDefault="00B05B6C" w:rsidP="004150D6">
            <w:pPr>
              <w:rPr>
                <w:sz w:val="24"/>
              </w:rPr>
            </w:pPr>
            <w:r>
              <w:rPr>
                <w:sz w:val="24"/>
              </w:rPr>
              <w:t xml:space="preserve">Face coverings are no longer mandatory, and therefore may or may not be worn, at the discretion of the minister and the person(s) being visited. For pastoral reasons, it should be considered that the minister be prepared not to wear a face </w:t>
            </w:r>
            <w:r>
              <w:rPr>
                <w:sz w:val="24"/>
              </w:rPr>
              <w:lastRenderedPageBreak/>
              <w:t xml:space="preserve">covering if the person being visited would prefer. </w:t>
            </w:r>
          </w:p>
        </w:tc>
        <w:tc>
          <w:tcPr>
            <w:tcW w:w="1145" w:type="pct"/>
          </w:tcPr>
          <w:p w14:paraId="766FB550" w14:textId="0BB88671" w:rsidR="004150D6" w:rsidRPr="006A27EB" w:rsidRDefault="00B522D4" w:rsidP="004150D6">
            <w:pPr>
              <w:rPr>
                <w:sz w:val="24"/>
              </w:rPr>
            </w:pPr>
            <w:r>
              <w:rPr>
                <w:iCs/>
                <w:sz w:val="24"/>
              </w:rPr>
              <w:lastRenderedPageBreak/>
              <w:t>The Cooperation of the individual requesting the visit should be sought</w:t>
            </w:r>
            <w:r w:rsidR="00B05B6C">
              <w:rPr>
                <w:iCs/>
                <w:sz w:val="24"/>
              </w:rPr>
              <w:t xml:space="preserve">, ideally, </w:t>
            </w:r>
            <w:r>
              <w:rPr>
                <w:iCs/>
                <w:sz w:val="24"/>
              </w:rPr>
              <w:t xml:space="preserve">before the visit takes place.  </w:t>
            </w:r>
            <w:proofErr w:type="gramStart"/>
            <w:r w:rsidR="00B05B6C">
              <w:rPr>
                <w:iCs/>
                <w:sz w:val="24"/>
              </w:rPr>
              <w:t>However</w:t>
            </w:r>
            <w:proofErr w:type="gramEnd"/>
            <w:r w:rsidR="00B05B6C">
              <w:rPr>
                <w:iCs/>
                <w:sz w:val="24"/>
              </w:rPr>
              <w:t xml:space="preserve"> a conversation ‘at the door’ about whether face-coverings should be worn would be acceptable. </w:t>
            </w:r>
          </w:p>
        </w:tc>
        <w:tc>
          <w:tcPr>
            <w:tcW w:w="485" w:type="pct"/>
          </w:tcPr>
          <w:p w14:paraId="368BB4E6" w14:textId="45FCA0C6" w:rsidR="004150D6" w:rsidRDefault="00FD3A95" w:rsidP="004150D6">
            <w:r>
              <w:rPr>
                <w:iCs/>
                <w:sz w:val="24"/>
              </w:rPr>
              <w:t>Minister</w:t>
            </w:r>
          </w:p>
        </w:tc>
        <w:tc>
          <w:tcPr>
            <w:tcW w:w="529" w:type="pct"/>
          </w:tcPr>
          <w:p w14:paraId="28A7B8B1" w14:textId="6CABE3B2" w:rsidR="004150D6" w:rsidRDefault="00FD3A95" w:rsidP="004150D6">
            <w:r>
              <w:rPr>
                <w:sz w:val="24"/>
              </w:rPr>
              <w:t>Before Visit</w:t>
            </w:r>
            <w:r w:rsidR="00B05B6C">
              <w:rPr>
                <w:sz w:val="24"/>
              </w:rPr>
              <w:t xml:space="preserve"> / as visit commences. </w:t>
            </w:r>
          </w:p>
        </w:tc>
        <w:tc>
          <w:tcPr>
            <w:tcW w:w="232" w:type="pct"/>
          </w:tcPr>
          <w:p w14:paraId="45652FAC" w14:textId="77777777" w:rsidR="004150D6" w:rsidRDefault="004150D6" w:rsidP="004150D6"/>
        </w:tc>
      </w:tr>
      <w:tr w:rsidR="004150D6" w14:paraId="78C2424B" w14:textId="77777777" w:rsidTr="009804CD">
        <w:tc>
          <w:tcPr>
            <w:tcW w:w="664" w:type="pct"/>
          </w:tcPr>
          <w:p w14:paraId="6964CDF1" w14:textId="77777777" w:rsidR="004150D6" w:rsidRDefault="004150D6" w:rsidP="004150D6">
            <w:r w:rsidRPr="00680EAF">
              <w:rPr>
                <w:sz w:val="24"/>
              </w:rPr>
              <w:t>As above</w:t>
            </w:r>
          </w:p>
          <w:p w14:paraId="5B3D7B67" w14:textId="77777777" w:rsidR="004150D6" w:rsidRDefault="004150D6" w:rsidP="004150D6"/>
        </w:tc>
        <w:tc>
          <w:tcPr>
            <w:tcW w:w="1059" w:type="pct"/>
          </w:tcPr>
          <w:p w14:paraId="60B40AFD" w14:textId="77777777" w:rsidR="004150D6" w:rsidRDefault="004150D6" w:rsidP="004150D6">
            <w:r w:rsidRPr="00680EAF">
              <w:rPr>
                <w:sz w:val="24"/>
              </w:rPr>
              <w:t>As above</w:t>
            </w:r>
          </w:p>
        </w:tc>
        <w:tc>
          <w:tcPr>
            <w:tcW w:w="886" w:type="pct"/>
          </w:tcPr>
          <w:p w14:paraId="76166D50" w14:textId="77777777" w:rsidR="004150D6" w:rsidRDefault="004150D6" w:rsidP="004150D6">
            <w:pPr>
              <w:rPr>
                <w:b/>
                <w:bCs/>
                <w:sz w:val="24"/>
              </w:rPr>
            </w:pPr>
            <w:r>
              <w:rPr>
                <w:b/>
                <w:bCs/>
                <w:sz w:val="24"/>
              </w:rPr>
              <w:t>Worship material</w:t>
            </w:r>
          </w:p>
          <w:p w14:paraId="556C9B5C" w14:textId="5CBA8952" w:rsidR="00FD3A95" w:rsidRPr="00A22001" w:rsidRDefault="00B05B6C" w:rsidP="004150D6">
            <w:pPr>
              <w:rPr>
                <w:sz w:val="24"/>
              </w:rPr>
            </w:pPr>
            <w:r>
              <w:rPr>
                <w:sz w:val="24"/>
              </w:rPr>
              <w:t xml:space="preserve">No further mitigations required if hands sanitised before / after use. </w:t>
            </w:r>
            <w:r w:rsidR="00FD3A95">
              <w:rPr>
                <w:sz w:val="24"/>
              </w:rPr>
              <w:t xml:space="preserve"> </w:t>
            </w:r>
          </w:p>
        </w:tc>
        <w:tc>
          <w:tcPr>
            <w:tcW w:w="1145" w:type="pct"/>
          </w:tcPr>
          <w:p w14:paraId="4E79BCB3" w14:textId="7EA39C35" w:rsidR="004150D6" w:rsidRPr="00A22001" w:rsidRDefault="004150D6" w:rsidP="004150D6">
            <w:pPr>
              <w:rPr>
                <w:sz w:val="24"/>
              </w:rPr>
            </w:pPr>
          </w:p>
        </w:tc>
        <w:tc>
          <w:tcPr>
            <w:tcW w:w="485" w:type="pct"/>
          </w:tcPr>
          <w:p w14:paraId="2F49029C" w14:textId="12376151" w:rsidR="004150D6" w:rsidRPr="00A22001" w:rsidRDefault="004150D6" w:rsidP="004150D6">
            <w:pPr>
              <w:rPr>
                <w:sz w:val="24"/>
              </w:rPr>
            </w:pPr>
          </w:p>
        </w:tc>
        <w:tc>
          <w:tcPr>
            <w:tcW w:w="529" w:type="pct"/>
          </w:tcPr>
          <w:p w14:paraId="1EF5DD83" w14:textId="43C972F2" w:rsidR="004150D6" w:rsidRPr="00A22001" w:rsidRDefault="004150D6" w:rsidP="004150D6">
            <w:pPr>
              <w:rPr>
                <w:sz w:val="24"/>
              </w:rPr>
            </w:pPr>
          </w:p>
        </w:tc>
        <w:tc>
          <w:tcPr>
            <w:tcW w:w="232" w:type="pct"/>
          </w:tcPr>
          <w:p w14:paraId="593F9EF7" w14:textId="77777777" w:rsidR="004150D6" w:rsidRDefault="004150D6" w:rsidP="004150D6"/>
        </w:tc>
      </w:tr>
      <w:tr w:rsidR="004150D6" w14:paraId="4518946A" w14:textId="77777777" w:rsidTr="009804CD">
        <w:tc>
          <w:tcPr>
            <w:tcW w:w="664" w:type="pct"/>
          </w:tcPr>
          <w:p w14:paraId="4F762BE9" w14:textId="77777777" w:rsidR="004150D6" w:rsidRDefault="004150D6" w:rsidP="004150D6">
            <w:r w:rsidRPr="00680EAF">
              <w:rPr>
                <w:sz w:val="24"/>
              </w:rPr>
              <w:t>As above</w:t>
            </w:r>
          </w:p>
          <w:p w14:paraId="037F5C72" w14:textId="77777777" w:rsidR="004150D6" w:rsidRDefault="004150D6" w:rsidP="004150D6"/>
        </w:tc>
        <w:tc>
          <w:tcPr>
            <w:tcW w:w="1059" w:type="pct"/>
          </w:tcPr>
          <w:p w14:paraId="480A29E0" w14:textId="77777777" w:rsidR="004150D6" w:rsidRDefault="004150D6" w:rsidP="004150D6">
            <w:r w:rsidRPr="00680EAF">
              <w:rPr>
                <w:sz w:val="24"/>
              </w:rPr>
              <w:t>As above</w:t>
            </w:r>
          </w:p>
        </w:tc>
        <w:tc>
          <w:tcPr>
            <w:tcW w:w="886" w:type="pct"/>
          </w:tcPr>
          <w:p w14:paraId="48F55383" w14:textId="77777777" w:rsidR="004150D6" w:rsidRDefault="004150D6" w:rsidP="004150D6">
            <w:pPr>
              <w:rPr>
                <w:b/>
                <w:bCs/>
                <w:sz w:val="24"/>
              </w:rPr>
            </w:pPr>
            <w:r>
              <w:rPr>
                <w:b/>
                <w:bCs/>
                <w:sz w:val="24"/>
              </w:rPr>
              <w:t>Toileting</w:t>
            </w:r>
          </w:p>
          <w:p w14:paraId="069199F7" w14:textId="34C0AC92" w:rsidR="004150D6" w:rsidRPr="006A26CF" w:rsidRDefault="00B05B6C" w:rsidP="004150D6">
            <w:pPr>
              <w:rPr>
                <w:sz w:val="24"/>
              </w:rPr>
            </w:pPr>
            <w:r>
              <w:rPr>
                <w:sz w:val="24"/>
              </w:rPr>
              <w:t xml:space="preserve">No further mitigations required if hands sanitised before / after use.  </w:t>
            </w:r>
          </w:p>
        </w:tc>
        <w:tc>
          <w:tcPr>
            <w:tcW w:w="1145" w:type="pct"/>
          </w:tcPr>
          <w:p w14:paraId="1ACC5640" w14:textId="228638A2" w:rsidR="004150D6" w:rsidRPr="006A26CF" w:rsidRDefault="004150D6" w:rsidP="004150D6">
            <w:pPr>
              <w:rPr>
                <w:sz w:val="24"/>
              </w:rPr>
            </w:pPr>
          </w:p>
        </w:tc>
        <w:tc>
          <w:tcPr>
            <w:tcW w:w="485" w:type="pct"/>
          </w:tcPr>
          <w:p w14:paraId="2C158D99" w14:textId="32BAEEF6" w:rsidR="004150D6" w:rsidRDefault="004150D6" w:rsidP="004150D6"/>
        </w:tc>
        <w:tc>
          <w:tcPr>
            <w:tcW w:w="529" w:type="pct"/>
          </w:tcPr>
          <w:p w14:paraId="51E5F0D6" w14:textId="486E1FDE" w:rsidR="004150D6" w:rsidRDefault="004150D6" w:rsidP="004150D6"/>
        </w:tc>
        <w:tc>
          <w:tcPr>
            <w:tcW w:w="232" w:type="pct"/>
          </w:tcPr>
          <w:p w14:paraId="7D551BCD" w14:textId="77777777" w:rsidR="004150D6" w:rsidRDefault="004150D6" w:rsidP="004150D6"/>
        </w:tc>
      </w:tr>
      <w:tr w:rsidR="004150D6" w14:paraId="37303B61" w14:textId="77777777" w:rsidTr="009804CD">
        <w:tc>
          <w:tcPr>
            <w:tcW w:w="664" w:type="pct"/>
          </w:tcPr>
          <w:p w14:paraId="3C5DD049" w14:textId="77777777" w:rsidR="004150D6" w:rsidRDefault="004150D6" w:rsidP="004150D6">
            <w:r w:rsidRPr="00680EAF">
              <w:rPr>
                <w:sz w:val="24"/>
              </w:rPr>
              <w:t>As above</w:t>
            </w:r>
          </w:p>
          <w:p w14:paraId="760C4BD2" w14:textId="77777777" w:rsidR="004150D6" w:rsidRDefault="004150D6" w:rsidP="004150D6"/>
          <w:p w14:paraId="50C5A62F" w14:textId="77777777" w:rsidR="004150D6" w:rsidRDefault="004150D6" w:rsidP="004150D6"/>
        </w:tc>
        <w:tc>
          <w:tcPr>
            <w:tcW w:w="1059" w:type="pct"/>
          </w:tcPr>
          <w:p w14:paraId="49852C52" w14:textId="77777777" w:rsidR="004150D6" w:rsidRDefault="004150D6" w:rsidP="004150D6">
            <w:r w:rsidRPr="00680EAF">
              <w:rPr>
                <w:sz w:val="24"/>
              </w:rPr>
              <w:t>As above</w:t>
            </w:r>
          </w:p>
        </w:tc>
        <w:tc>
          <w:tcPr>
            <w:tcW w:w="886" w:type="pct"/>
          </w:tcPr>
          <w:p w14:paraId="15021810" w14:textId="09A054E9" w:rsidR="004150D6" w:rsidRDefault="00FD3A95" w:rsidP="004150D6">
            <w:pPr>
              <w:rPr>
                <w:b/>
                <w:bCs/>
                <w:sz w:val="24"/>
              </w:rPr>
            </w:pPr>
            <w:r>
              <w:rPr>
                <w:b/>
                <w:bCs/>
                <w:sz w:val="24"/>
              </w:rPr>
              <w:t>Holy Communion</w:t>
            </w:r>
          </w:p>
          <w:p w14:paraId="50D63F58" w14:textId="05E0366D" w:rsidR="00FD3A95" w:rsidRDefault="00FD3A95" w:rsidP="004150D6">
            <w:pPr>
              <w:rPr>
                <w:sz w:val="24"/>
              </w:rPr>
            </w:pPr>
            <w:r>
              <w:rPr>
                <w:sz w:val="24"/>
              </w:rPr>
              <w:t xml:space="preserve">The correct number of breads to be placed (with sanitised hands) in a pyx before visit. </w:t>
            </w:r>
          </w:p>
          <w:p w14:paraId="333E133E" w14:textId="6F750B82" w:rsidR="00FD3A95" w:rsidRDefault="00FD3A95" w:rsidP="004150D6">
            <w:pPr>
              <w:rPr>
                <w:sz w:val="24"/>
              </w:rPr>
            </w:pPr>
          </w:p>
          <w:p w14:paraId="78478032" w14:textId="4676592E" w:rsidR="00FD3A95" w:rsidRDefault="00FD3A95" w:rsidP="004150D6">
            <w:pPr>
              <w:rPr>
                <w:sz w:val="24"/>
              </w:rPr>
            </w:pPr>
            <w:r>
              <w:rPr>
                <w:sz w:val="24"/>
              </w:rPr>
              <w:t xml:space="preserve">Communion to be offered </w:t>
            </w:r>
            <w:r w:rsidR="00B05B6C">
              <w:rPr>
                <w:sz w:val="24"/>
              </w:rPr>
              <w:t xml:space="preserve">by Simultaneous Administration of both bread and wine (wafer to be touched to surface of wine, </w:t>
            </w:r>
            <w:r w:rsidR="00B05B6C">
              <w:rPr>
                <w:sz w:val="24"/>
              </w:rPr>
              <w:lastRenderedPageBreak/>
              <w:t xml:space="preserve">allowing a small amount to infuse). </w:t>
            </w:r>
            <w:r>
              <w:rPr>
                <w:sz w:val="24"/>
              </w:rPr>
              <w:t xml:space="preserve"> </w:t>
            </w:r>
          </w:p>
          <w:p w14:paraId="2C0B5638" w14:textId="49F77E5B" w:rsidR="00FD3A95" w:rsidRDefault="00FD3A95" w:rsidP="004150D6">
            <w:pPr>
              <w:rPr>
                <w:sz w:val="24"/>
              </w:rPr>
            </w:pPr>
          </w:p>
          <w:p w14:paraId="36B744FF" w14:textId="6DEF8ED8" w:rsidR="00FD3A95" w:rsidRDefault="00FD3A95" w:rsidP="004150D6">
            <w:pPr>
              <w:rPr>
                <w:sz w:val="24"/>
              </w:rPr>
            </w:pPr>
            <w:r>
              <w:rPr>
                <w:sz w:val="24"/>
              </w:rPr>
              <w:t xml:space="preserve">Communion set with patten to be used. </w:t>
            </w:r>
          </w:p>
          <w:p w14:paraId="1A47F007" w14:textId="54D00440" w:rsidR="00FD3A95" w:rsidRDefault="00FD3A95" w:rsidP="004150D6">
            <w:pPr>
              <w:rPr>
                <w:sz w:val="24"/>
              </w:rPr>
            </w:pPr>
          </w:p>
          <w:p w14:paraId="4B3FDE92" w14:textId="2453D9B3" w:rsidR="00FD3A95" w:rsidRDefault="00FD3A95" w:rsidP="004150D6">
            <w:pPr>
              <w:rPr>
                <w:sz w:val="24"/>
              </w:rPr>
            </w:pPr>
            <w:r>
              <w:rPr>
                <w:sz w:val="24"/>
              </w:rPr>
              <w:t xml:space="preserve">Patten and pyx to be washed thoroughly after use. </w:t>
            </w:r>
          </w:p>
          <w:p w14:paraId="3FD365C5" w14:textId="2BF403D2" w:rsidR="00DD569A" w:rsidRDefault="00DD569A" w:rsidP="004150D6">
            <w:pPr>
              <w:rPr>
                <w:sz w:val="24"/>
              </w:rPr>
            </w:pPr>
          </w:p>
          <w:p w14:paraId="4B434D2E" w14:textId="5D273C84" w:rsidR="00DD569A" w:rsidRDefault="00DD569A" w:rsidP="004150D6">
            <w:pPr>
              <w:rPr>
                <w:sz w:val="24"/>
              </w:rPr>
            </w:pPr>
            <w:r>
              <w:rPr>
                <w:sz w:val="24"/>
              </w:rPr>
              <w:t xml:space="preserve">Home Communion Carrying Case to be sanitised after use. </w:t>
            </w:r>
          </w:p>
          <w:p w14:paraId="5CC8A2BC" w14:textId="77777777" w:rsidR="00FD3A95" w:rsidRPr="00A77A84" w:rsidRDefault="00FD3A95" w:rsidP="004150D6">
            <w:pPr>
              <w:rPr>
                <w:sz w:val="24"/>
              </w:rPr>
            </w:pPr>
          </w:p>
          <w:p w14:paraId="22307854" w14:textId="77777777" w:rsidR="004150D6" w:rsidRPr="00A77A84" w:rsidRDefault="004150D6" w:rsidP="004150D6">
            <w:pPr>
              <w:rPr>
                <w:b/>
                <w:bCs/>
                <w:sz w:val="24"/>
              </w:rPr>
            </w:pPr>
          </w:p>
        </w:tc>
        <w:tc>
          <w:tcPr>
            <w:tcW w:w="1145" w:type="pct"/>
          </w:tcPr>
          <w:p w14:paraId="3884FD44" w14:textId="330F5F3B" w:rsidR="004150D6" w:rsidRPr="00A77A84" w:rsidRDefault="00FD3A95" w:rsidP="004150D6">
            <w:pPr>
              <w:rPr>
                <w:sz w:val="24"/>
              </w:rPr>
            </w:pPr>
            <w:r>
              <w:rPr>
                <w:sz w:val="24"/>
              </w:rPr>
              <w:lastRenderedPageBreak/>
              <w:t>No.</w:t>
            </w:r>
            <w:r w:rsidR="004150D6">
              <w:rPr>
                <w:sz w:val="24"/>
              </w:rPr>
              <w:t xml:space="preserve"> </w:t>
            </w:r>
          </w:p>
        </w:tc>
        <w:tc>
          <w:tcPr>
            <w:tcW w:w="485" w:type="pct"/>
          </w:tcPr>
          <w:p w14:paraId="60F4EFDE" w14:textId="37735096" w:rsidR="004150D6" w:rsidRDefault="00FD3A95" w:rsidP="004150D6">
            <w:r>
              <w:rPr>
                <w:sz w:val="24"/>
              </w:rPr>
              <w:t>Minister</w:t>
            </w:r>
          </w:p>
        </w:tc>
        <w:tc>
          <w:tcPr>
            <w:tcW w:w="529" w:type="pct"/>
          </w:tcPr>
          <w:p w14:paraId="2FA31382" w14:textId="28EC05D0" w:rsidR="004150D6" w:rsidRDefault="00FD3A95" w:rsidP="004150D6">
            <w:r>
              <w:rPr>
                <w:sz w:val="24"/>
              </w:rPr>
              <w:t xml:space="preserve">Before, during, and after visit. </w:t>
            </w:r>
          </w:p>
        </w:tc>
        <w:tc>
          <w:tcPr>
            <w:tcW w:w="232" w:type="pct"/>
          </w:tcPr>
          <w:p w14:paraId="1E301F5F" w14:textId="77777777" w:rsidR="004150D6" w:rsidRDefault="004150D6" w:rsidP="004150D6"/>
        </w:tc>
      </w:tr>
    </w:tbl>
    <w:p w14:paraId="6FB2ECD9" w14:textId="77777777" w:rsidR="009547A8" w:rsidRDefault="009547A8"/>
    <w:sectPr w:rsidR="009547A8" w:rsidSect="009547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42B11"/>
    <w:multiLevelType w:val="hybridMultilevel"/>
    <w:tmpl w:val="57887D16"/>
    <w:lvl w:ilvl="0" w:tplc="8138DDE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C4189E"/>
    <w:multiLevelType w:val="hybridMultilevel"/>
    <w:tmpl w:val="70061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5F5E2E"/>
    <w:multiLevelType w:val="hybridMultilevel"/>
    <w:tmpl w:val="9EF0F2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A8"/>
    <w:rsid w:val="000B6C22"/>
    <w:rsid w:val="00142F12"/>
    <w:rsid w:val="001F7270"/>
    <w:rsid w:val="00205EBD"/>
    <w:rsid w:val="00236BCA"/>
    <w:rsid w:val="002A23F4"/>
    <w:rsid w:val="004150D6"/>
    <w:rsid w:val="00447F86"/>
    <w:rsid w:val="004A1B71"/>
    <w:rsid w:val="00793904"/>
    <w:rsid w:val="00875CB4"/>
    <w:rsid w:val="008B0EA0"/>
    <w:rsid w:val="009547A8"/>
    <w:rsid w:val="009804CD"/>
    <w:rsid w:val="00A21D59"/>
    <w:rsid w:val="00A46367"/>
    <w:rsid w:val="00B05B6C"/>
    <w:rsid w:val="00B522D4"/>
    <w:rsid w:val="00D81D65"/>
    <w:rsid w:val="00DD569A"/>
    <w:rsid w:val="00F2289D"/>
    <w:rsid w:val="00F31B6C"/>
    <w:rsid w:val="00FD3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66AC"/>
  <w15:chartTrackingRefBased/>
  <w15:docId w15:val="{31BED374-459F-4D19-85F8-C82075EA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A8"/>
    <w:pPr>
      <w:spacing w:after="0" w:line="240" w:lineRule="auto"/>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47A8"/>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ListParagraph">
    <w:name w:val="List Paragraph"/>
    <w:basedOn w:val="Normal"/>
    <w:uiPriority w:val="34"/>
    <w:qFormat/>
    <w:rsid w:val="009547A8"/>
    <w:pPr>
      <w:ind w:left="720"/>
      <w:contextualSpacing/>
    </w:pPr>
  </w:style>
  <w:style w:type="character" w:styleId="Hyperlink">
    <w:name w:val="Hyperlink"/>
    <w:basedOn w:val="DefaultParagraphFont"/>
    <w:uiPriority w:val="99"/>
    <w:unhideWhenUsed/>
    <w:rsid w:val="009547A8"/>
    <w:rPr>
      <w:color w:val="0563C1" w:themeColor="hyperlink"/>
      <w:u w:val="single"/>
    </w:rPr>
  </w:style>
  <w:style w:type="paragraph" w:styleId="BalloonText">
    <w:name w:val="Balloon Text"/>
    <w:basedOn w:val="Normal"/>
    <w:link w:val="BalloonTextChar"/>
    <w:uiPriority w:val="99"/>
    <w:semiHidden/>
    <w:unhideWhenUsed/>
    <w:rsid w:val="00205EBD"/>
    <w:rPr>
      <w:rFonts w:ascii="Segoe UI" w:hAnsi="Segoe UI" w:cs="Segoe UI"/>
      <w:szCs w:val="18"/>
    </w:rPr>
  </w:style>
  <w:style w:type="character" w:customStyle="1" w:styleId="BalloonTextChar">
    <w:name w:val="Balloon Text Char"/>
    <w:basedOn w:val="DefaultParagraphFont"/>
    <w:link w:val="BalloonText"/>
    <w:uiPriority w:val="99"/>
    <w:semiHidden/>
    <w:rsid w:val="00205EB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75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4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George</dc:creator>
  <cp:keywords/>
  <dc:description/>
  <cp:lastModifiedBy>Fox, Joseph</cp:lastModifiedBy>
  <cp:revision>5</cp:revision>
  <cp:lastPrinted>2020-10-24T14:28:00Z</cp:lastPrinted>
  <dcterms:created xsi:type="dcterms:W3CDTF">2022-01-15T11:17:00Z</dcterms:created>
  <dcterms:modified xsi:type="dcterms:W3CDTF">2022-01-15T11:25:00Z</dcterms:modified>
</cp:coreProperties>
</file>